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BD806C">
      <w:pPr>
        <w:pStyle w:val="2"/>
        <w:tabs>
          <w:tab w:val="left" w:pos="4140"/>
        </w:tabs>
        <w:snapToGrid w:val="0"/>
        <w:spacing w:line="360" w:lineRule="auto"/>
        <w:ind w:firstLine="420" w:firstLineChars="200"/>
        <w:jc w:val="left"/>
        <w:rPr>
          <w:rFonts w:hint="eastAsia" w:ascii="Times New Roman" w:hAnsi="Times New Roman" w:eastAsia="黑体" w:cs="Times New Roman"/>
          <w:color w:val="000000"/>
          <w:sz w:val="24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4695190" cy="751840"/>
            <wp:effectExtent l="0" t="0" r="10160" b="10160"/>
            <wp:docPr id="1" name="图片 1" descr="E:\张\11.19\11.20\25-26四川点金训练 语文人教选择性必修下册 教师用书（初稿）\课一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:\张\11.19\11.20\25-26四川点金训练 语文人教选择性必修下册 教师用书（初稿）\课一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95190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8A976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一、基础训练</w:t>
      </w:r>
    </w:p>
    <w:p w14:paraId="5CC1DB0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</w:t>
      </w:r>
      <w:r>
        <w:rPr>
          <w:rFonts w:hint="eastAsia" w:ascii="Times New Roman" w:hAnsi="Times New Roman" w:cs="Times New Roman"/>
          <w:color w:val="000000"/>
          <w:sz w:val="24"/>
        </w:rPr>
        <w:t>．下列加点字解释有误的一项是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6492313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．保民而王，莫之能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御</w:t>
      </w:r>
      <w:r>
        <w:rPr>
          <w:rFonts w:hint="eastAsia" w:ascii="Times New Roman" w:hAnsi="Times New Roman" w:cs="Times New Roman"/>
          <w:color w:val="000000"/>
          <w:sz w:val="24"/>
        </w:rPr>
        <w:t>也　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hint="eastAsia" w:ascii="Times New Roman" w:hAnsi="Times New Roman" w:cs="Times New Roman"/>
          <w:color w:val="000000"/>
          <w:sz w:val="24"/>
        </w:rPr>
        <w:t>御：抵御</w:t>
      </w:r>
    </w:p>
    <w:p w14:paraId="537EB08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．宜乎百姓之谓我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爱</w:t>
      </w:r>
      <w:r>
        <w:rPr>
          <w:rFonts w:hint="eastAsia" w:ascii="Times New Roman" w:hAnsi="Times New Roman" w:cs="Times New Roman"/>
          <w:color w:val="000000"/>
          <w:sz w:val="24"/>
        </w:rPr>
        <w:t>也　</w:t>
      </w:r>
      <w:r>
        <w:rPr>
          <w:rFonts w:ascii="Times New Roman" w:hAnsi="Times New Roman" w:cs="Times New Roman"/>
          <w:color w:val="000000"/>
          <w:sz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hint="eastAsia" w:ascii="Times New Roman" w:hAnsi="Times New Roman" w:cs="Times New Roman"/>
          <w:color w:val="000000"/>
          <w:sz w:val="24"/>
        </w:rPr>
        <w:t>爱：喜欢</w:t>
      </w:r>
    </w:p>
    <w:p w14:paraId="0FF1B24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．百姓之不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见</w:t>
      </w:r>
      <w:r>
        <w:rPr>
          <w:rFonts w:hint="eastAsia" w:ascii="Times New Roman" w:hAnsi="Times New Roman" w:cs="Times New Roman"/>
          <w:color w:val="000000"/>
          <w:sz w:val="24"/>
        </w:rPr>
        <w:t>保</w:t>
      </w:r>
      <w:r>
        <w:rPr>
          <w:rFonts w:ascii="Times New Roman" w:hAnsi="Times New Roman" w:cs="Times New Roman"/>
          <w:color w:val="000000"/>
          <w:sz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hint="eastAsia" w:ascii="Times New Roman" w:hAnsi="Times New Roman" w:cs="Times New Roman"/>
          <w:color w:val="000000"/>
          <w:sz w:val="24"/>
        </w:rPr>
        <w:t>见：表示被动</w:t>
      </w:r>
    </w:p>
    <w:p w14:paraId="5529CD0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老</w:t>
      </w:r>
      <w:r>
        <w:rPr>
          <w:rFonts w:hint="eastAsia" w:ascii="Times New Roman" w:hAnsi="Times New Roman" w:cs="Times New Roman"/>
          <w:color w:val="000000"/>
          <w:sz w:val="24"/>
        </w:rPr>
        <w:t>吾老，以及人之老　</w:t>
      </w:r>
      <w:r>
        <w:rPr>
          <w:rFonts w:ascii="Times New Roman" w:hAnsi="Times New Roman" w:cs="Times New Roman"/>
          <w:color w:val="000000"/>
          <w:sz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hint="eastAsia" w:ascii="Times New Roman" w:hAnsi="Times New Roman" w:cs="Times New Roman"/>
          <w:color w:val="000000"/>
          <w:sz w:val="24"/>
        </w:rPr>
        <w:t>老：敬爱</w:t>
      </w:r>
      <w:bookmarkStart w:id="0" w:name="_GoBack"/>
      <w:bookmarkEnd w:id="0"/>
    </w:p>
    <w:p w14:paraId="3570AB6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项，爱：吝啬。</w:t>
      </w:r>
    </w:p>
    <w:p w14:paraId="412E7A4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下列与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方六七十，如五六十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方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的意义相同的一项是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4E4BE29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．四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方</w:t>
      </w:r>
      <w:r>
        <w:rPr>
          <w:rFonts w:hint="eastAsia" w:ascii="Times New Roman" w:hAnsi="Times New Roman" w:cs="Times New Roman"/>
          <w:color w:val="000000"/>
          <w:sz w:val="24"/>
        </w:rPr>
        <w:t>之士来者，必庙礼之</w:t>
      </w:r>
    </w:p>
    <w:p w14:paraId="2631D57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．今齐地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方</w:t>
      </w:r>
      <w:r>
        <w:rPr>
          <w:rFonts w:hint="eastAsia" w:ascii="Times New Roman" w:hAnsi="Times New Roman" w:cs="Times New Roman"/>
          <w:color w:val="000000"/>
          <w:sz w:val="24"/>
        </w:rPr>
        <w:t>千里，百二十城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</w:p>
    <w:p w14:paraId="7BF9430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．可使有勇，且知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方</w:t>
      </w:r>
      <w:r>
        <w:rPr>
          <w:rFonts w:hint="eastAsia" w:ascii="Times New Roman" w:hAnsi="Times New Roman" w:cs="Times New Roman"/>
          <w:color w:val="000000"/>
          <w:sz w:val="24"/>
        </w:rPr>
        <w:t>也</w:t>
      </w:r>
    </w:p>
    <w:p w14:paraId="1F02135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方</w:t>
      </w:r>
      <w:r>
        <w:rPr>
          <w:rFonts w:hint="eastAsia" w:ascii="Times New Roman" w:hAnsi="Times New Roman" w:cs="Times New Roman"/>
          <w:color w:val="000000"/>
          <w:sz w:val="24"/>
        </w:rPr>
        <w:t>欲行，转视积薪后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</w:p>
    <w:p w14:paraId="6DDE288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项与例句中的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方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都是计量面积用语，多用以计量土地，后加表示长度的数词或数量词，表示纵横若干长度的意思。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项，方向，方位。</w:t>
      </w:r>
      <w:r>
        <w:rPr>
          <w:rFonts w:ascii="Times New Roman" w:hAnsi="Times New Roman" w:eastAsia="楷体_GB2312" w:cs="Times New Roman"/>
          <w:color w:val="000000"/>
          <w:sz w:val="24"/>
        </w:rPr>
        <w:t>C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项，合乎礼义的行事准则。</w:t>
      </w:r>
      <w:r>
        <w:rPr>
          <w:rFonts w:ascii="Times New Roman" w:hAnsi="Times New Roman" w:eastAsia="楷体_GB2312" w:cs="Times New Roman"/>
          <w:color w:val="000000"/>
          <w:sz w:val="24"/>
        </w:rPr>
        <w:t>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项，副词，正。</w:t>
      </w:r>
    </w:p>
    <w:p w14:paraId="02C9F0D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下列对句式的判断，不正确的一项是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145671C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．臣之所好者道也。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判断句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155D700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．技经肯綮之未尝。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定语后置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3D2055C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．是以十九年而刀刃若新发于硎。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介词结构后置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3A155CD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．提刀而立，为之四顾。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省略句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410A07F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项，应为宾语前置句，正常语序为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未尝技经肯綮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</w:p>
    <w:p w14:paraId="761D756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4</w:t>
      </w:r>
      <w:r>
        <w:rPr>
          <w:rFonts w:hint="eastAsia" w:ascii="Times New Roman" w:hAnsi="Times New Roman" w:cs="Times New Roman"/>
          <w:color w:val="000000"/>
          <w:sz w:val="24"/>
        </w:rPr>
        <w:t>．下列加点词语的词类活用现象与其他三项不同的一项是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2688DD7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明</w:t>
      </w:r>
      <w:r>
        <w:rPr>
          <w:rFonts w:hint="eastAsia" w:ascii="Times New Roman" w:hAnsi="Times New Roman" w:cs="Times New Roman"/>
          <w:color w:val="000000"/>
          <w:sz w:val="24"/>
        </w:rPr>
        <w:t>足以察秋毫之末</w:t>
      </w:r>
    </w:p>
    <w:p w14:paraId="4D04A48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．五十者可以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衣</w:t>
      </w:r>
      <w:r>
        <w:rPr>
          <w:rFonts w:hint="eastAsia" w:ascii="Times New Roman" w:hAnsi="Times New Roman" w:cs="Times New Roman"/>
          <w:color w:val="000000"/>
          <w:sz w:val="24"/>
        </w:rPr>
        <w:t>帛矣</w:t>
      </w:r>
    </w:p>
    <w:p w14:paraId="7FF6FF7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小</w:t>
      </w:r>
      <w:r>
        <w:rPr>
          <w:rFonts w:hint="eastAsia" w:ascii="Times New Roman" w:hAnsi="Times New Roman" w:cs="Times New Roman"/>
          <w:color w:val="000000"/>
          <w:sz w:val="24"/>
        </w:rPr>
        <w:t>固不可以敌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大</w:t>
      </w:r>
    </w:p>
    <w:p w14:paraId="126C400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弱</w:t>
      </w:r>
      <w:r>
        <w:rPr>
          <w:rFonts w:hint="eastAsia" w:ascii="Times New Roman" w:hAnsi="Times New Roman" w:cs="Times New Roman"/>
          <w:color w:val="000000"/>
          <w:sz w:val="24"/>
        </w:rPr>
        <w:t>固不可以敌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强</w:t>
      </w:r>
    </w:p>
    <w:p w14:paraId="07E86D7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项，名词用作动词，其他三项是形容词用作名词。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项，明：视力。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项，衣：穿。</w:t>
      </w:r>
      <w:r>
        <w:rPr>
          <w:rFonts w:ascii="Times New Roman" w:hAnsi="Times New Roman" w:eastAsia="楷体_GB2312" w:cs="Times New Roman"/>
          <w:color w:val="000000"/>
          <w:sz w:val="24"/>
        </w:rPr>
        <w:t>C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项，小：小的势力；大：大的势力。</w:t>
      </w:r>
      <w:r>
        <w:rPr>
          <w:rFonts w:ascii="Times New Roman" w:hAnsi="Times New Roman" w:eastAsia="楷体_GB2312" w:cs="Times New Roman"/>
          <w:color w:val="000000"/>
          <w:sz w:val="24"/>
        </w:rPr>
        <w:t>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项，弱：弱小的力量；强：强大的力量。</w:t>
      </w:r>
    </w:p>
    <w:p w14:paraId="79EF552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5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下列句子中加点词语的解释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62879D4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庖丁释刀对曰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释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是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放下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的意思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与成语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爱不释手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释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意思相同。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</w:p>
    <w:p w14:paraId="7F83A19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良庖岁更刀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良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是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好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的意思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与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感我此言良久立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良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意思相同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。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</w:p>
    <w:p w14:paraId="1DCEF35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动刀甚微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微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是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轻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的意思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与成语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微言大义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微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意思相同。</w:t>
      </w:r>
    </w:p>
    <w:p w14:paraId="1E22C1E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得养生焉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得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是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得到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的意思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与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此言得之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得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意思相同。</w:t>
      </w:r>
    </w:p>
    <w:p w14:paraId="7D8C19F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b w:val="0"/>
          <w:bCs w:val="0"/>
          <w:color w:val="FF0000"/>
          <w:sz w:val="24"/>
          <w:lang w:val="en-US" w:eastAsia="zh-CN"/>
        </w:rPr>
        <w:t>A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项，“感我此言良久立”中的“良”是“很”的意思。C项</w:t>
      </w:r>
      <w:r>
        <w:rPr>
          <w:rFonts w:hint="eastAsia" w:ascii="Times New Roman" w:hAnsi="Times New Roman" w:eastAsia="楷体_GB2312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“微言大义”中的“微”是“精深”的意思。D项,“此言得之”中的“得”是“恰当”的意思。</w:t>
      </w:r>
    </w:p>
    <w:p w14:paraId="402A02D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二、阅读训练</w:t>
      </w:r>
    </w:p>
    <w:p w14:paraId="5061D6B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阅读下面的文言文，完成</w:t>
      </w:r>
      <w:r>
        <w:rPr>
          <w:rFonts w:ascii="Times New Roman" w:hAnsi="Times New Roman" w:cs="Times New Roman"/>
          <w:color w:val="000000"/>
          <w:sz w:val="24"/>
        </w:rPr>
        <w:t>6</w:t>
      </w:r>
      <w:r>
        <w:rPr>
          <w:rFonts w:hint="eastAsia" w:ascii="Times New Roman" w:hAnsi="Times New Roman" w:cs="Times New Roman"/>
          <w:color w:val="000000"/>
          <w:sz w:val="24"/>
        </w:rPr>
        <w:t>～</w:t>
      </w:r>
      <w:r>
        <w:rPr>
          <w:rFonts w:ascii="Times New Roman" w:hAnsi="Times New Roman" w:cs="Times New Roman"/>
          <w:color w:val="000000"/>
          <w:sz w:val="24"/>
        </w:rPr>
        <w:t>10</w:t>
      </w:r>
      <w:r>
        <w:rPr>
          <w:rFonts w:hint="eastAsia" w:ascii="Times New Roman" w:hAnsi="Times New Roman" w:cs="Times New Roman"/>
          <w:color w:val="000000"/>
          <w:sz w:val="24"/>
        </w:rPr>
        <w:t>题。</w:t>
      </w:r>
    </w:p>
    <w:p w14:paraId="2A0EB32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公都子曰：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外人皆称</w:t>
      </w:r>
      <w:r>
        <w:rPr>
          <w:rFonts w:hint="eastAsia" w:ascii="Times New Roman" w:hAnsi="Times New Roman" w:eastAsia="楷体_GB2312" w:cs="Times New Roman"/>
          <w:color w:val="000000"/>
          <w:sz w:val="24"/>
          <w:em w:val="dot"/>
        </w:rPr>
        <w:t>夫子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好辩，敢问何也？</w:t>
      </w:r>
      <w:r>
        <w:rPr>
          <w:rFonts w:hint="eastAsia" w:hAnsi="宋体" w:cs="Times New Roman"/>
          <w:color w:val="000000"/>
          <w:sz w:val="24"/>
        </w:rPr>
        <w:t>”</w:t>
      </w:r>
    </w:p>
    <w:p w14:paraId="50EABC5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hint="eastAsia" w:ascii="楷体_GB2312" w:hAnsi="楷体_GB2312" w:eastAsia="楷体_GB2312" w:cs="楷体_GB2312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孟子曰：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予岂好辩哉？予不得已也。天下之生久矣，一治一乱。当尧之时，水逆行，泛滥于中国，蛇龙居之，民无所定。尧舜既没，圣人之道衰，暴君代作。坏宫室以为</w:t>
      </w:r>
      <w:r>
        <w:rPr>
          <w:rFonts w:hint="eastAsia" w:hAnsi="宋体" w:cs="宋体"/>
          <w:color w:val="000000"/>
          <w:sz w:val="24"/>
        </w:rPr>
        <w:t>洿</w:t>
      </w:r>
      <w:r>
        <w:rPr>
          <w:rFonts w:hint="eastAsia" w:ascii="楷体_GB2312" w:hAnsi="楷体_GB2312" w:eastAsia="楷体_GB2312" w:cs="楷体_GB2312"/>
          <w:color w:val="000000"/>
          <w:sz w:val="24"/>
        </w:rPr>
        <w:t>池，民无所安息；弃田以为园囿，使民不得衣食。邪说暴行又作，园囿、</w:t>
      </w:r>
      <w:r>
        <w:rPr>
          <w:rFonts w:hint="eastAsia" w:hAnsi="宋体" w:cs="宋体"/>
          <w:color w:val="000000"/>
          <w:sz w:val="24"/>
        </w:rPr>
        <w:t>洿</w:t>
      </w:r>
      <w:r>
        <w:rPr>
          <w:rFonts w:hint="eastAsia" w:ascii="楷体_GB2312" w:hAnsi="楷体_GB2312" w:eastAsia="楷体_GB2312" w:cs="楷体_GB2312"/>
          <w:color w:val="000000"/>
          <w:sz w:val="24"/>
        </w:rPr>
        <w:t>池、沛泽多而禽兽至。及纣之身，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天下又大乱。</w:t>
      </w:r>
      <w:r>
        <w:rPr>
          <w:rFonts w:hint="eastAsia" w:ascii="楷体_GB2312" w:hAnsi="楷体_GB2312" w:eastAsia="楷体_GB2312" w:cs="楷体_GB2312"/>
          <w:color w:val="000000"/>
          <w:sz w:val="24"/>
          <w:u w:val="single"/>
        </w:rPr>
        <w:t>周公相武王诛纣，灭国者五十，驱虎、豹、犀、象而远之，天下大悦。</w:t>
      </w:r>
    </w:p>
    <w:p w14:paraId="5620687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hint="eastAsia" w:ascii="楷体_GB2312" w:hAnsi="楷体_GB2312" w:eastAsia="楷体_GB2312" w:cs="楷体_GB2312"/>
          <w:color w:val="000000"/>
          <w:sz w:val="24"/>
        </w:rPr>
      </w:pPr>
      <w:r>
        <w:rPr>
          <w:rFonts w:hint="eastAsia" w:ascii="楷体_GB2312" w:hAnsi="楷体_GB2312" w:eastAsia="楷体_GB2312" w:cs="楷体_GB2312"/>
          <w:color w:val="000000"/>
          <w:sz w:val="24"/>
        </w:rPr>
        <w:t>“世衰道微，邪说暴行有作，臣弑其君者有之，子弑其父者有之。孔子惧，作《</w:t>
      </w:r>
      <w:r>
        <w:rPr>
          <w:rFonts w:hint="eastAsia" w:ascii="楷体_GB2312" w:hAnsi="楷体_GB2312" w:eastAsia="楷体_GB2312" w:cs="楷体_GB2312"/>
          <w:color w:val="000000"/>
          <w:sz w:val="24"/>
          <w:em w:val="dot"/>
        </w:rPr>
        <w:t>春秋</w:t>
      </w:r>
      <w:r>
        <w:rPr>
          <w:rFonts w:hint="eastAsia" w:ascii="楷体_GB2312" w:hAnsi="楷体_GB2312" w:eastAsia="楷体_GB2312" w:cs="楷体_GB2312"/>
          <w:color w:val="000000"/>
          <w:sz w:val="24"/>
        </w:rPr>
        <w:t>》。《春秋》，天子之事也。是故孔子曰：‘知我者其唯《春秋》乎！罪我者其唯《春秋》乎！’</w:t>
      </w:r>
    </w:p>
    <w:p w14:paraId="0D3D467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楷体_GB2312" w:hAnsi="楷体_GB2312" w:eastAsia="楷体_GB2312" w:cs="楷体_GB2312"/>
          <w:color w:val="000000"/>
          <w:sz w:val="24"/>
        </w:rPr>
        <w:t>“圣王不作，诸侯放恣，</w:t>
      </w:r>
      <w:r>
        <w:rPr>
          <w:rFonts w:hint="eastAsia" w:ascii="楷体_GB2312" w:hAnsi="楷体_GB2312" w:eastAsia="楷体_GB2312" w:cs="楷体_GB2312"/>
          <w:color w:val="000000"/>
          <w:sz w:val="24"/>
          <w:em w:val="dot"/>
        </w:rPr>
        <w:t>处士</w:t>
      </w:r>
      <w:r>
        <w:rPr>
          <w:rFonts w:hint="eastAsia" w:ascii="楷体_GB2312" w:hAnsi="楷体_GB2312" w:eastAsia="楷体_GB2312" w:cs="楷体_GB2312"/>
          <w:color w:val="000000"/>
          <w:sz w:val="24"/>
        </w:rPr>
        <w:t>横议，杨朱、墨翟之言盈天下。天下之言不归杨，则归墨。杨氏为我，是无君也；墨氏兼爱，是无父也。无父无君，是禽兽也。公明仪曰：‘庖有肥肉，厩有肥马；民有饥色，野有饿莩，此率兽而食人也。’</w:t>
      </w:r>
      <w:r>
        <w:rPr>
          <w:rFonts w:hint="eastAsia" w:ascii="Times New Roman" w:hAnsi="Times New Roman" w:eastAsia="楷体_GB2312" w:cs="Times New Roman"/>
          <w:color w:val="000000"/>
          <w:sz w:val="24"/>
          <w:u w:val="single"/>
        </w:rPr>
        <w:t>杨墨之道不息，孔子之道不著，是邪说诬民，充塞仁义也。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吾为此惧，闲先圣之道，距杨墨，放淫辞，邪说者不得作。作于其心，害于其事；作于其事，害于其政。圣人复起，不易吾言矣。</w:t>
      </w:r>
    </w:p>
    <w:p w14:paraId="0B8CE5D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  <w:u w:val="wave"/>
        </w:rPr>
        <w:t>昔者</w:t>
      </w:r>
      <w:r>
        <w:rPr>
          <w:rFonts w:hint="eastAsia" w:ascii="Times New Roman" w:hAnsi="Times New Roman" w:eastAsia="楷体_GB2312" w:cs="Times New Roman"/>
          <w:color w:val="000000"/>
          <w:sz w:val="24"/>
          <w:u w:val="wave"/>
          <w:em w:val="dot"/>
        </w:rPr>
        <w:t>禹</w:t>
      </w:r>
      <w:r>
        <w:rPr>
          <w:rFonts w:hint="eastAsia" w:ascii="Times New Roman" w:hAnsi="Times New Roman" w:eastAsia="楷体_GB2312" w:cs="Times New Roman"/>
          <w:color w:val="000000"/>
          <w:sz w:val="24"/>
          <w:u w:val="wave"/>
        </w:rPr>
        <w:t>抑洪水而天下平周公兼夷狄驱猛兽而百姓宁孔子成《春秋》而乱臣贼子惧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。我亦欲正人心，息邪说，距</w:t>
      </w:r>
      <w:r>
        <w:rPr>
          <w:rFonts w:hint="eastAsia" w:hAnsi="宋体" w:cs="宋体"/>
          <w:color w:val="000000"/>
          <w:sz w:val="24"/>
        </w:rPr>
        <w:t>诐</w:t>
      </w:r>
      <w:r>
        <w:rPr>
          <w:rFonts w:hint="eastAsia" w:ascii="楷体_GB2312" w:hAnsi="楷体_GB2312" w:eastAsia="楷体_GB2312" w:cs="楷体_GB2312"/>
          <w:color w:val="000000"/>
          <w:sz w:val="24"/>
        </w:rPr>
        <w:t>行，放淫辞，以承三圣者，岂好辩哉？予不得已也。能言距杨、墨者，圣人之徒也。</w:t>
      </w:r>
      <w:r>
        <w:rPr>
          <w:rFonts w:hint="eastAsia" w:hAnsi="宋体" w:cs="Times New Roman"/>
          <w:color w:val="000000"/>
          <w:sz w:val="24"/>
        </w:rPr>
        <w:t>”</w:t>
      </w:r>
    </w:p>
    <w:p w14:paraId="7975AAB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righ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(</w:t>
      </w:r>
      <w:r>
        <w:rPr>
          <w:rFonts w:hint="eastAsia" w:ascii="仿宋_GB2312" w:hAnsi="仿宋_GB2312" w:eastAsia="仿宋_GB2312" w:cs="仿宋_GB2312"/>
          <w:color w:val="000000"/>
          <w:sz w:val="24"/>
        </w:rPr>
        <w:t>选自《孟子·滕文公下》，有删改</w:t>
      </w:r>
      <w:r>
        <w:rPr>
          <w:rFonts w:ascii="Times New Roman" w:hAnsi="Times New Roman" w:eastAsia="仿宋_GB2312" w:cs="Times New Roman"/>
          <w:color w:val="000000"/>
          <w:sz w:val="24"/>
        </w:rPr>
        <w:t>)</w:t>
      </w:r>
    </w:p>
    <w:p w14:paraId="3C43AAB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6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文</w:t>
      </w:r>
      <w:r>
        <w:rPr>
          <w:rFonts w:hint="eastAsia" w:ascii="Times New Roman" w:hAnsi="Times New Roman" w:cs="Times New Roman"/>
          <w:color w:val="000000"/>
          <w:sz w:val="24"/>
        </w:rPr>
        <w:t>中画波浪线部分有三处需要断句，请将相应位置的答案标号涂黑。</w:t>
      </w:r>
    </w:p>
    <w:p w14:paraId="132B366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昔者禹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x(A)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抑洪水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x(B)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而天下平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x(C)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周公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x(D)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兼夷狄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x(E)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驱猛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x(F)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兽而百姓宁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x(G)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孔子成《春秋》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x(H)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而乱臣贼子惧。</w:t>
      </w:r>
    </w:p>
    <w:p w14:paraId="5FF55FF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CEG</w:t>
      </w:r>
      <w:r>
        <w:rPr>
          <w:rFonts w:hint="eastAsia" w:ascii="Times New Roman" w:hAnsi="Times New Roman" w:cs="Times New Roman"/>
          <w:color w:val="00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昔者禹抑洪水而天下平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句意完整，其后应断开；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周公兼夷狄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意为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周公兼并夷狄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，其后应断开；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驱猛兽而百姓宁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与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孔子成《春秋》而乱臣贼子惧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结构相同，中间应断开。</w:t>
      </w:r>
    </w:p>
    <w:p w14:paraId="556000C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7</w:t>
      </w:r>
      <w:r>
        <w:rPr>
          <w:rFonts w:hint="eastAsia" w:ascii="Times New Roman" w:hAnsi="Times New Roman" w:cs="Times New Roman"/>
          <w:color w:val="000000"/>
          <w:sz w:val="24"/>
        </w:rPr>
        <w:t>．下列对文中加点词语的相关内容的解说，不正确的一项是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4DC3824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．夫子，古代对男子的敬称。孔子弟子尊称孔子为夫子，后世遂敬称老师为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夫子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。</w:t>
      </w:r>
    </w:p>
    <w:p w14:paraId="042F321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．《春秋》，即《春秋经》，古代儒家典籍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六经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之一，是我国第一部纪传体史书，由孔子修订而成。</w:t>
      </w:r>
    </w:p>
    <w:p w14:paraId="0CEC4B5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．处士，指那些本来有很高的才能，但因为官场黑暗或未被朝廷重用而隐居不愿做官的人。后也泛指未做过官的士人。</w:t>
      </w:r>
    </w:p>
    <w:p w14:paraId="5035E96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．禹，后人称其为夏禹、大禹，是古代传说中与尧、舜齐名的贤圣帝王。传说其治理过洪水。</w:t>
      </w:r>
    </w:p>
    <w:p w14:paraId="126A3FF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《春秋》是我国第一部编年体史书。</w:t>
      </w:r>
    </w:p>
    <w:p w14:paraId="2F039A2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8</w:t>
      </w:r>
      <w:r>
        <w:rPr>
          <w:rFonts w:hint="eastAsia" w:ascii="Times New Roman" w:hAnsi="Times New Roman" w:cs="Times New Roman"/>
          <w:color w:val="000000"/>
          <w:sz w:val="24"/>
        </w:rPr>
        <w:t>．下列对原文有关内容的概括和分析，不正确的一项是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27BAFF0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．孟子认为自己好辩是不得已而为之，他借辩论来表明自己的态度，宣扬儒家的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仁政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思想。</w:t>
      </w:r>
    </w:p>
    <w:p w14:paraId="471DF02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．孟子将杨、墨两家的学说概括为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无君</w:t>
      </w:r>
      <w:r>
        <w:rPr>
          <w:rFonts w:hint="eastAsia" w:hAnsi="宋体" w:cs="Times New Roman"/>
          <w:color w:val="000000"/>
          <w:sz w:val="24"/>
        </w:rPr>
        <w:t>”“</w:t>
      </w:r>
      <w:r>
        <w:rPr>
          <w:rFonts w:hint="eastAsia" w:ascii="Times New Roman" w:hAnsi="Times New Roman" w:cs="Times New Roman"/>
          <w:color w:val="000000"/>
          <w:sz w:val="24"/>
        </w:rPr>
        <w:t>无父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，将其比作乱臣贼子的邪说，认为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无君无父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的人是禽兽。</w:t>
      </w:r>
    </w:p>
    <w:p w14:paraId="3B2AA2B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．孟子主张端正人心，消除邪说，反对偏激，批判怪论，这些做法是符合人民意愿和社会发展规律的。</w:t>
      </w:r>
    </w:p>
    <w:p w14:paraId="48C3749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．孟子认为，没有大禹，天下不会太平；没有孔子，百姓将不得安宁；没有周公，人们会思想混乱。</w:t>
      </w:r>
    </w:p>
    <w:p w14:paraId="25104A0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应为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没有周公，百姓将不得安宁；没有孔子，人们会思想混乱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</w:p>
    <w:p w14:paraId="6C79716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9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把文中画横线的句子翻译成现代汉语。</w:t>
      </w:r>
    </w:p>
    <w:p w14:paraId="4FF11F3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(1)</w:t>
      </w:r>
      <w:r>
        <w:rPr>
          <w:rFonts w:hint="eastAsia" w:ascii="Times New Roman" w:hAnsi="Times New Roman" w:cs="Times New Roman"/>
          <w:color w:val="000000"/>
          <w:sz w:val="24"/>
        </w:rPr>
        <w:t>周公相武王诛纣，灭国者五十，驱虎、豹、犀、象而远之，天下大悦。</w:t>
      </w:r>
    </w:p>
    <w:p w14:paraId="1024DF3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FF0000"/>
          <w:sz w:val="24"/>
        </w:rPr>
        <w:t>答案：</w:t>
      </w:r>
      <w:r>
        <w:rPr>
          <w:rFonts w:ascii="Times New Roman" w:hAnsi="Times New Roman" w:cs="Times New Roman"/>
          <w:color w:val="000000"/>
          <w:sz w:val="24"/>
        </w:rPr>
        <w:t>(1)</w:t>
      </w:r>
      <w:r>
        <w:rPr>
          <w:rFonts w:hint="eastAsia" w:ascii="Times New Roman" w:hAnsi="Times New Roman" w:cs="Times New Roman"/>
          <w:color w:val="000000"/>
          <w:sz w:val="24"/>
        </w:rPr>
        <w:t>周公辅佐武王讨伐纣王，灭掉了五十个国家，把虎、豹、犀牛、大象都赶到边远之地，天下百姓都非常高兴。</w:t>
      </w:r>
    </w:p>
    <w:p w14:paraId="1549150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(2)</w:t>
      </w:r>
      <w:r>
        <w:rPr>
          <w:rFonts w:hint="eastAsia" w:ascii="Times New Roman" w:hAnsi="Times New Roman" w:cs="Times New Roman"/>
          <w:color w:val="000000"/>
          <w:sz w:val="24"/>
        </w:rPr>
        <w:t>杨墨之道不息，孔子之道不著，是邪说诬民，充塞仁义也。</w:t>
      </w:r>
    </w:p>
    <w:p w14:paraId="42F2DAE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FF0000"/>
          <w:sz w:val="24"/>
        </w:rPr>
        <w:t>答案：</w:t>
      </w:r>
      <w:r>
        <w:rPr>
          <w:rFonts w:ascii="Times New Roman" w:hAnsi="Times New Roman" w:cs="Times New Roman"/>
          <w:color w:val="000000"/>
          <w:sz w:val="24"/>
        </w:rPr>
        <w:t>(2)</w:t>
      </w:r>
      <w:r>
        <w:rPr>
          <w:rFonts w:hint="eastAsia" w:ascii="Times New Roman" w:hAnsi="Times New Roman" w:cs="Times New Roman"/>
          <w:color w:val="000000"/>
          <w:sz w:val="24"/>
        </w:rPr>
        <w:t>杨朱、墨翟的学说不停止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传播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，孔子的学说就不能发扬光大，这样邪恶的言论就会蒙蔽百姓，阻塞仁义的道路。</w:t>
      </w:r>
    </w:p>
    <w:p w14:paraId="3211DC0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10</w:t>
      </w:r>
      <w:r>
        <w:rPr>
          <w:rFonts w:hint="eastAsia" w:ascii="Times New Roman" w:hAnsi="Times New Roman" w:cs="Times New Roman"/>
          <w:color w:val="000000"/>
          <w:sz w:val="24"/>
        </w:rPr>
        <w:t>．孟子是如何回答公都子的问题的？</w:t>
      </w:r>
    </w:p>
    <w:p w14:paraId="482478E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FF0000"/>
          <w:sz w:val="24"/>
        </w:rPr>
        <w:t>答案：</w:t>
      </w:r>
      <w:r>
        <w:rPr>
          <w:rFonts w:hint="eastAsia" w:ascii="Times New Roman" w:hAnsi="Times New Roman" w:cs="Times New Roman"/>
          <w:color w:val="000000"/>
          <w:sz w:val="24"/>
        </w:rPr>
        <w:t>在这篇文章中，孟子以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三圣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传人自居，自认他的好辩，就像夏禹治洪水、周公驱猛兽、孔子著《春秋》一样，是为了天下百姓得以安居乐业，是出于不得已。孟子理直气壮地说明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不得已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之故，从而表明非如此不可的决心。</w:t>
      </w:r>
    </w:p>
    <w:p w14:paraId="0F24A33E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70FBD2">
    <w:pPr>
      <w:pStyle w:val="3"/>
      <w:jc w:val="center"/>
    </w:pP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  <w:r>
      <w:t>/</w:t>
    </w:r>
    <w:r>
      <w:fldChar w:fldCharType="begin"/>
    </w:r>
    <w:r>
      <w:instrText xml:space="preserve"> NUMPAGES  \* MERGEFORMAT </w:instrText>
    </w:r>
    <w:r>
      <w:fldChar w:fldCharType="separate"/>
    </w:r>
    <w:r>
      <w:t>4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64F"/>
    <w:rsid w:val="00125270"/>
    <w:rsid w:val="00242A82"/>
    <w:rsid w:val="005E0C58"/>
    <w:rsid w:val="006679F3"/>
    <w:rsid w:val="006F22C3"/>
    <w:rsid w:val="00850AFC"/>
    <w:rsid w:val="00881ACD"/>
    <w:rsid w:val="008A7DC3"/>
    <w:rsid w:val="00906285"/>
    <w:rsid w:val="00A352BF"/>
    <w:rsid w:val="00A914FB"/>
    <w:rsid w:val="00B6364F"/>
    <w:rsid w:val="00C10E5F"/>
    <w:rsid w:val="00C8702E"/>
    <w:rsid w:val="00D85921"/>
    <w:rsid w:val="00DA01EA"/>
    <w:rsid w:val="00E57DF5"/>
    <w:rsid w:val="00E9217D"/>
    <w:rsid w:val="00E966D8"/>
    <w:rsid w:val="073E3021"/>
    <w:rsid w:val="23E06963"/>
    <w:rsid w:val="41CC329D"/>
    <w:rsid w:val="66A31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hAnsi="Courier New" w:cs="Courier New" w:asciiTheme="minorEastAsia" w:eastAsiaTheme="minorEastAsia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Char"/>
    <w:basedOn w:val="6"/>
    <w:link w:val="2"/>
    <w:qFormat/>
    <w:uiPriority w:val="0"/>
    <w:rPr>
      <w:rFonts w:hAnsi="Courier New" w:cs="Courier New" w:asciiTheme="minorEastAsia" w:eastAsiaTheme="minorEastAsia"/>
      <w:kern w:val="2"/>
      <w:sz w:val="21"/>
      <w:szCs w:val="24"/>
    </w:rPr>
  </w:style>
  <w:style w:type="character" w:customStyle="1" w:styleId="8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2319</Words>
  <Characters>2331</Characters>
  <Lines>17</Lines>
  <Paragraphs>4</Paragraphs>
  <TotalTime>0</TotalTime>
  <ScaleCrop>false</ScaleCrop>
  <LinksUpToDate>false</LinksUpToDate>
  <CharactersWithSpaces>2370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2024-08-13T06:38:00Z</dcterms:created>
  <dc:creator>XSL</dc:creator>
  <cp:keywords>QQ752179280</cp:keywords>
  <cp:lastModifiedBy>芹泥</cp:lastModifiedBy>
  <dcterms:modified xsi:type="dcterms:W3CDTF">2026-03-02T07:50:41Z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F27D436A7B5F49DF8F1EA79A2FB85EA2</vt:lpwstr>
  </property>
  <property fmtid="{D5CDD505-2E9C-101B-9397-08002B2CF9AE}" pid="4" name="KSOTemplateDocerSaveRecord">
    <vt:lpwstr>eyJoZGlkIjoiNzE1ZWE1MWM2YzJjN2QzZmZjOGI1Zjc0ZThmOWNiMGYiLCJ1c2VySWQiOiIyNTk3OTIwNDAifQ==</vt:lpwstr>
  </property>
</Properties>
</file>